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before="168"/>
        <w:ind w:firstLine="0" w:left="0" w:right="0"/>
        <w:jc w:val="center"/>
        <w:rPr>
          <w:b w:val="0"/>
          <w:sz w:val="28"/>
        </w:rPr>
      </w:pPr>
      <w:r>
        <w:rPr>
          <w:b w:val="1"/>
          <w:sz w:val="32"/>
        </w:rPr>
        <w:t>А</w:t>
      </w:r>
      <w:r>
        <w:rPr>
          <w:b w:val="1"/>
          <w:sz w:val="28"/>
        </w:rPr>
        <w:t>дминистративная ответственность при несчастном случае на производстве</w:t>
      </w:r>
    </w:p>
    <w:p w14:paraId="07000000">
      <w:pPr>
        <w:spacing w:after="0" w:before="168"/>
        <w:ind w:firstLine="0" w:left="0" w:right="0"/>
        <w:jc w:val="both"/>
        <w:rPr>
          <w:b w:val="0"/>
          <w:sz w:val="28"/>
        </w:rPr>
      </w:pPr>
    </w:p>
    <w:p w14:paraId="08000000">
      <w:pPr>
        <w:spacing w:after="0" w:before="168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Из-за несчастного случая на производстве может последовать административная ответственность, например, по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ч. 1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5 ст. 5.27.1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ст. 15.34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ч. 1 ст. 19.4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ч. 1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-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3 ст. 19.4.1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ч. 23 ст. 19.5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РФ.</w:t>
      </w:r>
    </w:p>
    <w:p w14:paraId="09000000">
      <w:pPr>
        <w:spacing w:after="0" w:before="168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Так, за нарушение государственных нормативных требований охраны труда, содержащихся в федеральных законах и иных нормативных правовых актах РФ (исключение - случаи, указанные в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ч. 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-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4 ст. 5.27.1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ч. 3 ст. 11.23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РФ), предусмотрено, в частности (</w:t>
      </w:r>
      <w:r>
        <w:rPr>
          <w:b w:val="0"/>
          <w:strike w:val="0"/>
          <w:color w:val="0000FF"/>
          <w:sz w:val="28"/>
          <w:u w:color="000000" w:val="single"/>
        </w:rPr>
        <w:t>ч. 1 ст. 5.27.1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РФ):</w:t>
      </w:r>
    </w:p>
    <w:p w14:paraId="0A000000">
      <w:pPr>
        <w:numPr>
          <w:ilvl w:val="0"/>
          <w:numId w:val="1"/>
        </w:numPr>
        <w:spacing w:after="269" w:before="269"/>
        <w:ind w:hanging="33" w:left="600" w:right="0"/>
        <w:rPr>
          <w:sz w:val="28"/>
        </w:rPr>
      </w:pPr>
      <w:r>
        <w:rPr>
          <w:sz w:val="28"/>
        </w:rPr>
        <w:t>предупреждение или административный штраф от 2 000 до 5 000 руб. - для должностных лиц и ИП;</w:t>
      </w:r>
    </w:p>
    <w:p w14:paraId="0B000000">
      <w:pPr>
        <w:numPr>
          <w:ilvl w:val="0"/>
          <w:numId w:val="2"/>
        </w:numPr>
        <w:spacing w:after="269" w:before="269"/>
        <w:ind w:hanging="33" w:left="600" w:right="0"/>
        <w:rPr>
          <w:sz w:val="28"/>
        </w:rPr>
      </w:pPr>
      <w:r>
        <w:rPr>
          <w:sz w:val="28"/>
        </w:rPr>
        <w:t>предупреждение или административный штраф от 50 000 до 80 000 руб. - для организаций.</w:t>
      </w:r>
    </w:p>
    <w:p w14:paraId="0C000000">
      <w:pPr>
        <w:spacing w:after="0" w:before="168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Если такое нарушение выявлено повторно, наступит более серьезная административная ответственность - вплоть до дисквалификации должностных лиц и административное приостановления деятельности ИП, организации (</w:t>
      </w:r>
      <w:r>
        <w:rPr>
          <w:b w:val="0"/>
          <w:strike w:val="0"/>
          <w:color w:val="0000FF"/>
          <w:sz w:val="28"/>
          <w:u w:color="000000" w:val="single"/>
        </w:rPr>
        <w:t>ч. 5 ст. 5.27.1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РФ).</w:t>
      </w:r>
    </w:p>
    <w:p w14:paraId="0D000000">
      <w:pPr>
        <w:spacing w:after="0" w:before="168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Административная ответственность может наступить, например, за нарушение порядка взаимодействия с госинспектором труда по вопросам, связанным с произошедшим несчастным случаем на производстве. Так, за отказ должностного лица организации выполнить требование или распоряжение должностного лица контролирующего органа предусмотрено наказание в виде предупреждения или штрафа в размере от 2 000 до 4 000 руб. (</w:t>
      </w:r>
      <w:r>
        <w:rPr>
          <w:b w:val="0"/>
          <w:strike w:val="0"/>
          <w:color w:val="0000FF"/>
          <w:sz w:val="28"/>
          <w:u w:color="000000" w:val="single"/>
        </w:rPr>
        <w:t>ч. 1 ст. 19.4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РФ).</w:t>
      </w:r>
    </w:p>
    <w:p w14:paraId="0E000000">
      <w:pPr>
        <w:spacing w:after="0" w:before="168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За иные препятствующие проведению проверки действия должностное лицо организации могут оштрафовать на сумму от 2 000 до 4 000 руб., а саму организацию - от 5 000 до 10 000 руб. (</w:t>
      </w:r>
      <w:r>
        <w:rPr>
          <w:b w:val="0"/>
          <w:strike w:val="0"/>
          <w:color w:val="0000FF"/>
          <w:sz w:val="28"/>
          <w:u w:color="000000" w:val="single"/>
        </w:rPr>
        <w:t>ч. 1 ст. 19.4.1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РФ).</w:t>
      </w:r>
    </w:p>
    <w:p w14:paraId="0F000000">
      <w:pPr>
        <w:spacing w:after="0" w:before="168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Если в результате препятствий со стороны организации проверка так и не была проведена (не завершена), штраф составит (</w:t>
      </w:r>
      <w:r>
        <w:rPr>
          <w:b w:val="0"/>
          <w:strike w:val="0"/>
          <w:color w:val="0000FF"/>
          <w:sz w:val="28"/>
          <w:u w:color="000000" w:val="single"/>
        </w:rPr>
        <w:t>примечание к ст. 2.4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ч. 2 ст. 19.4.1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РФ):</w:t>
      </w:r>
    </w:p>
    <w:p w14:paraId="10000000">
      <w:pPr>
        <w:numPr>
          <w:ilvl w:val="0"/>
          <w:numId w:val="3"/>
        </w:numPr>
        <w:spacing w:after="269" w:before="269"/>
        <w:ind w:hanging="33" w:left="600" w:right="0"/>
        <w:rPr>
          <w:sz w:val="28"/>
        </w:rPr>
      </w:pPr>
      <w:r>
        <w:rPr>
          <w:sz w:val="28"/>
        </w:rPr>
        <w:t>от 5 000 до 10 000 руб. - для должностных лиц и ИП;</w:t>
      </w:r>
    </w:p>
    <w:p w14:paraId="11000000">
      <w:pPr>
        <w:numPr>
          <w:ilvl w:val="0"/>
          <w:numId w:val="4"/>
        </w:numPr>
        <w:spacing w:after="269" w:before="269"/>
        <w:ind w:hanging="33" w:left="600" w:right="0"/>
        <w:rPr>
          <w:sz w:val="28"/>
        </w:rPr>
      </w:pPr>
      <w:r>
        <w:rPr>
          <w:sz w:val="28"/>
        </w:rPr>
        <w:t>от 20 000 до 50 000 руб. - для организаций.</w:t>
      </w:r>
    </w:p>
    <w:p w14:paraId="12000000">
      <w:pPr>
        <w:spacing w:after="0" w:before="168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Если привлеченное к ответственности должностное лицо повторно помешает провести проверку, его могут дисквалифицировать на срок от шести месяцев до одного года или оштрафовать на сумму от 10 000 до 20 000 руб. Организации в случае повторного нарушения грозит штраф в размере от 50 000 до 100 000 руб. (</w:t>
      </w:r>
      <w:r>
        <w:rPr>
          <w:b w:val="0"/>
          <w:strike w:val="0"/>
          <w:color w:val="0000FF"/>
          <w:sz w:val="28"/>
          <w:u w:color="000000" w:val="single"/>
        </w:rPr>
        <w:t>ч. 3 ст. 19.4.1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РФ).</w:t>
      </w:r>
    </w:p>
    <w:p w14:paraId="13000000">
      <w:pPr>
        <w:spacing w:after="0" w:before="168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За невыполнение в установленный срок или ненадлежащее выполнение законного предписания должностного лица Роструда об устранении нарушений трудового законодательства и иных нормативных правовых актов, содержащих нормы трудового права, работодатель может быть привлечен к административной ответственности в соответствии с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ч. 23 ст. 19.5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РФ.</w:t>
      </w:r>
    </w:p>
    <w:p w14:paraId="14000000">
      <w:pPr>
        <w:spacing w:after="0" w:before="168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Штраф за сокрытие страхового случая при страховании от несчастных случаев на производстве и профессиональных заболеваний составит (</w:t>
      </w:r>
      <w:r>
        <w:rPr>
          <w:b w:val="0"/>
          <w:strike w:val="0"/>
          <w:color w:val="0000FF"/>
          <w:sz w:val="28"/>
          <w:u w:color="000000" w:val="single"/>
        </w:rPr>
        <w:t>примечание к ст. 2.4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ст. 15.34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КоАП РФ):</w:t>
      </w:r>
    </w:p>
    <w:p w14:paraId="15000000">
      <w:pPr>
        <w:numPr>
          <w:ilvl w:val="0"/>
          <w:numId w:val="5"/>
        </w:numPr>
        <w:spacing w:after="269" w:before="269"/>
        <w:ind w:hanging="33" w:left="600" w:right="0"/>
        <w:rPr>
          <w:sz w:val="28"/>
        </w:rPr>
      </w:pPr>
      <w:r>
        <w:rPr>
          <w:sz w:val="28"/>
        </w:rPr>
        <w:t>от 500 до 1 000 руб. - для должностных лиц и ИП;</w:t>
      </w:r>
    </w:p>
    <w:p w14:paraId="16000000">
      <w:pPr>
        <w:numPr>
          <w:ilvl w:val="0"/>
          <w:numId w:val="6"/>
        </w:numPr>
        <w:ind w:firstLine="567"/>
        <w:rPr>
          <w:sz w:val="28"/>
        </w:rPr>
      </w:pPr>
      <w:r>
        <w:rPr>
          <w:sz w:val="28"/>
        </w:rPr>
        <w:t>от 5 000 до 10 000 руб. - для организаций.</w:t>
      </w:r>
    </w:p>
    <w:sectPr>
      <w:headerReference r:id="rId2" w:type="default"/>
      <w:headerReference r:id="rId1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toc 2"/>
    <w:next w:val="Style_2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" w:type="paragraph">
    <w:name w:val="toc 6"/>
    <w:next w:val="Style_2"/>
    <w:link w:val="Style_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6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7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8"/>
    <w:link w:val="Style_7_ch"/>
    <w:rPr>
      <w:rFonts w:ascii="XO Thames" w:hAnsi="XO Thames"/>
      <w:sz w:val="28"/>
    </w:rPr>
  </w:style>
  <w:style w:styleId="Style_7_ch" w:type="character">
    <w:name w:val="Contents 8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Contents 3"/>
    <w:link w:val="Style_10_ch"/>
    <w:rPr>
      <w:rFonts w:ascii="XO Thames" w:hAnsi="XO Thames"/>
      <w:sz w:val="28"/>
    </w:rPr>
  </w:style>
  <w:style w:styleId="Style_10_ch" w:type="character">
    <w:name w:val="Contents 3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Heading 31"/>
    <w:link w:val="Style_13_ch"/>
    <w:rPr>
      <w:rFonts w:ascii="XO Thames" w:hAnsi="XO Thames"/>
      <w:b w:val="1"/>
      <w:sz w:val="26"/>
    </w:rPr>
  </w:style>
  <w:style w:styleId="Style_13_ch" w:type="character">
    <w:name w:val="Heading 31"/>
    <w:link w:val="Style_13"/>
    <w:rPr>
      <w:rFonts w:ascii="XO Thames" w:hAnsi="XO Thames"/>
      <w:b w:val="1"/>
      <w:sz w:val="26"/>
    </w:rPr>
  </w:style>
  <w:style w:styleId="Style_14" w:type="paragraph">
    <w:name w:val="Endnote1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1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ConsPlusNormal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5_ch" w:type="character">
    <w:name w:val="ConsPlusNormal1"/>
    <w:link w:val="Style_15"/>
    <w:rPr>
      <w:rFonts w:ascii="Arial" w:hAnsi="Arial"/>
      <w:color w:val="000000"/>
      <w:spacing w:val="0"/>
      <w:sz w:val="20"/>
    </w:rPr>
  </w:style>
  <w:style w:styleId="Style_16" w:type="paragraph">
    <w:name w:val="ConsPlusCell1"/>
    <w:link w:val="Style_16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6_ch" w:type="character">
    <w:name w:val="ConsPlusCell1"/>
    <w:link w:val="Style_16"/>
    <w:rPr>
      <w:rFonts w:ascii="Times New Roman" w:hAnsi="Times New Roman"/>
      <w:color w:val="000000"/>
      <w:spacing w:val="0"/>
      <w:sz w:val="24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17" w:type="paragraph">
    <w:name w:val="Subtitle1"/>
    <w:link w:val="Style_17_ch"/>
    <w:rPr>
      <w:rFonts w:ascii="XO Thames" w:hAnsi="XO Thames"/>
      <w:i w:val="1"/>
      <w:sz w:val="24"/>
    </w:rPr>
  </w:style>
  <w:style w:styleId="Style_17_ch" w:type="character">
    <w:name w:val="Subtitle1"/>
    <w:link w:val="Style_17"/>
    <w:rPr>
      <w:rFonts w:ascii="XO Thames" w:hAnsi="XO Thames"/>
      <w:i w:val="1"/>
      <w:sz w:val="24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Text body indent"/>
    <w:link w:val="Style_19_ch"/>
  </w:style>
  <w:style w:styleId="Style_19_ch" w:type="character">
    <w:name w:val="Text body indent"/>
    <w:link w:val="Style_19"/>
  </w:style>
  <w:style w:styleId="Style_20" w:type="paragraph">
    <w:name w:val="Contents 7"/>
    <w:link w:val="Style_20_ch"/>
    <w:rPr>
      <w:rFonts w:ascii="XO Thames" w:hAnsi="XO Thames"/>
      <w:sz w:val="28"/>
    </w:rPr>
  </w:style>
  <w:style w:styleId="Style_20_ch" w:type="character">
    <w:name w:val="Contents 7"/>
    <w:link w:val="Style_20"/>
    <w:rPr>
      <w:rFonts w:ascii="XO Thames" w:hAnsi="XO Thames"/>
      <w:sz w:val="28"/>
    </w:rPr>
  </w:style>
  <w:style w:styleId="Style_21" w:type="paragraph">
    <w:name w:val="page number1"/>
    <w:basedOn w:val="Style_22"/>
    <w:link w:val="Style_21_ch"/>
  </w:style>
  <w:style w:styleId="Style_21_ch" w:type="character">
    <w:name w:val="page number1"/>
    <w:basedOn w:val="Style_22_ch"/>
    <w:link w:val="Style_21"/>
  </w:style>
  <w:style w:styleId="Style_23" w:type="paragraph">
    <w:name w:val="Contents 5"/>
    <w:link w:val="Style_23_ch"/>
    <w:rPr>
      <w:rFonts w:ascii="XO Thames" w:hAnsi="XO Thames"/>
      <w:sz w:val="28"/>
    </w:rPr>
  </w:style>
  <w:style w:styleId="Style_23_ch" w:type="character">
    <w:name w:val="Contents 5"/>
    <w:link w:val="Style_23"/>
    <w:rPr>
      <w:rFonts w:ascii="XO Thames" w:hAnsi="XO Thames"/>
      <w:sz w:val="28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Header1"/>
    <w:link w:val="Style_25_ch"/>
  </w:style>
  <w:style w:styleId="Style_25_ch" w:type="character">
    <w:name w:val="Header1"/>
    <w:link w:val="Style_25"/>
  </w:style>
  <w:style w:styleId="Style_26" w:type="paragraph">
    <w:name w:val="toc 3"/>
    <w:next w:val="Style_2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sNonformat1"/>
    <w:link w:val="Style_2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7_ch" w:type="character">
    <w:name w:val="ConsNonformat1"/>
    <w:link w:val="Style_27"/>
    <w:rPr>
      <w:rFonts w:ascii="Courier New" w:hAnsi="Courier New"/>
      <w:color w:val="000000"/>
      <w:spacing w:val="0"/>
      <w:sz w:val="20"/>
    </w:rPr>
  </w:style>
  <w:style w:styleId="Style_28" w:type="paragraph">
    <w:name w:val="Маркеры"/>
    <w:link w:val="Style_28_ch"/>
    <w:rPr>
      <w:rFonts w:ascii="OpenSymbol" w:hAnsi="OpenSymbol"/>
    </w:rPr>
  </w:style>
  <w:style w:styleId="Style_28_ch" w:type="character">
    <w:name w:val="Маркеры"/>
    <w:link w:val="Style_28"/>
    <w:rPr>
      <w:rFonts w:ascii="OpenSymbol" w:hAnsi="OpenSymbol"/>
    </w:rPr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Normal (Web)1"/>
    <w:basedOn w:val="Style_2"/>
    <w:link w:val="Style_30_ch"/>
    <w:pPr>
      <w:spacing w:afterAutospacing="on" w:beforeAutospacing="on"/>
      <w:ind/>
    </w:pPr>
  </w:style>
  <w:style w:styleId="Style_30_ch" w:type="character">
    <w:name w:val="Normal (Web)1"/>
    <w:basedOn w:val="Style_2_ch"/>
    <w:link w:val="Style_30"/>
  </w:style>
  <w:style w:styleId="Style_31" w:type="paragraph">
    <w:name w:val="heading 1"/>
    <w:next w:val="Style_2"/>
    <w:link w:val="Style_3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Body Text Indent"/>
    <w:basedOn w:val="Style_2"/>
    <w:link w:val="Style_32_ch"/>
    <w:pPr>
      <w:ind w:firstLine="720" w:left="0"/>
      <w:jc w:val="both"/>
    </w:pPr>
  </w:style>
  <w:style w:styleId="Style_32_ch" w:type="character">
    <w:name w:val="Body Text Indent"/>
    <w:basedOn w:val="Style_2_ch"/>
    <w:link w:val="Style_32"/>
  </w:style>
  <w:style w:styleId="Style_33" w:type="paragraph">
    <w:name w:val="Heading 21"/>
    <w:link w:val="Style_33_ch"/>
    <w:rPr>
      <w:rFonts w:ascii="XO Thames" w:hAnsi="XO Thames"/>
      <w:b w:val="1"/>
      <w:sz w:val="28"/>
    </w:rPr>
  </w:style>
  <w:style w:styleId="Style_33_ch" w:type="character">
    <w:name w:val="Heading 21"/>
    <w:link w:val="Style_33"/>
    <w:rPr>
      <w:rFonts w:ascii="XO Thames" w:hAnsi="XO Thames"/>
      <w:b w:val="1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 Знак Знак Знак Знак1"/>
    <w:basedOn w:val="Style_2"/>
    <w:link w:val="Style_36_ch"/>
    <w:pPr>
      <w:spacing w:after="160" w:before="0" w:line="240" w:lineRule="exact"/>
      <w:ind/>
    </w:pPr>
  </w:style>
  <w:style w:styleId="Style_36_ch" w:type="character">
    <w:name w:val=" Знак Знак Знак Знак1"/>
    <w:basedOn w:val="Style_2_ch"/>
    <w:link w:val="Style_36"/>
  </w:style>
  <w:style w:styleId="Style_22" w:type="paragraph">
    <w:name w:val="Default Paragraph Font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Default Paragraph Font1"/>
    <w:link w:val="Style_22"/>
    <w:rPr>
      <w:rFonts w:ascii="Times New Roman" w:hAnsi="Times New Roman"/>
      <w:color w:val="000000"/>
      <w:spacing w:val="0"/>
      <w:sz w:val="20"/>
    </w:rPr>
  </w:style>
  <w:style w:styleId="Style_37" w:type="paragraph">
    <w:name w:val="ConsPlusNonformat1"/>
    <w:link w:val="Style_3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7_ch" w:type="character">
    <w:name w:val="ConsPlusNonformat1"/>
    <w:link w:val="Style_37"/>
    <w:rPr>
      <w:rFonts w:ascii="Courier New" w:hAnsi="Courier New"/>
      <w:color w:val="000000"/>
      <w:spacing w:val="0"/>
      <w:sz w:val="20"/>
    </w:rPr>
  </w:style>
  <w:style w:styleId="Style_38" w:type="paragraph">
    <w:name w:val="toc 1"/>
    <w:next w:val="Style_2"/>
    <w:link w:val="Style_3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ing 11"/>
    <w:link w:val="Style_39_ch"/>
    <w:rPr>
      <w:rFonts w:ascii="XO Thames" w:hAnsi="XO Thames"/>
      <w:b w:val="1"/>
      <w:sz w:val="32"/>
    </w:rPr>
  </w:style>
  <w:style w:styleId="Style_39_ch" w:type="character">
    <w:name w:val="Heading 11"/>
    <w:link w:val="Style_39"/>
    <w:rPr>
      <w:rFonts w:ascii="XO Thames" w:hAnsi="XO Thames"/>
      <w:b w:val="1"/>
      <w:sz w:val="32"/>
    </w:rPr>
  </w:style>
  <w:style w:styleId="Style_40" w:type="paragraph">
    <w:name w:val="Колонтитул"/>
    <w:link w:val="Style_4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0_ch" w:type="character">
    <w:name w:val="Колонтитул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Heading 41"/>
    <w:link w:val="Style_42_ch"/>
    <w:rPr>
      <w:rFonts w:ascii="XO Thames" w:hAnsi="XO Thames"/>
      <w:b w:val="1"/>
      <w:sz w:val="24"/>
    </w:rPr>
  </w:style>
  <w:style w:styleId="Style_42_ch" w:type="character">
    <w:name w:val="Heading 41"/>
    <w:link w:val="Style_42"/>
    <w:rPr>
      <w:rFonts w:ascii="XO Thames" w:hAnsi="XO Thames"/>
      <w:b w:val="1"/>
      <w:sz w:val="24"/>
    </w:rPr>
  </w:style>
  <w:style w:styleId="Style_43" w:type="paragraph">
    <w:name w:val="toc 9"/>
    <w:next w:val="Style_2"/>
    <w:link w:val="Style_4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6"/>
    <w:link w:val="Style_44_ch"/>
    <w:rPr>
      <w:rFonts w:ascii="XO Thames" w:hAnsi="XO Thames"/>
      <w:sz w:val="28"/>
    </w:rPr>
  </w:style>
  <w:style w:styleId="Style_44_ch" w:type="character">
    <w:name w:val="Contents 6"/>
    <w:link w:val="Style_44"/>
    <w:rPr>
      <w:rFonts w:ascii="XO Thames" w:hAnsi="XO Thames"/>
      <w:sz w:val="28"/>
    </w:rPr>
  </w:style>
  <w:style w:styleId="Style_45" w:type="paragraph">
    <w:name w:val="Заголовок"/>
    <w:basedOn w:val="Style_2"/>
    <w:next w:val="Style_9"/>
    <w:link w:val="Style_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2_ch"/>
    <w:link w:val="Style_45"/>
    <w:rPr>
      <w:rFonts w:ascii="Liberation Sans" w:hAnsi="Liberation Sans"/>
      <w:sz w:val="28"/>
    </w:rPr>
  </w:style>
  <w:style w:styleId="Style_46" w:type="paragraph">
    <w:name w:val="toc 8"/>
    <w:next w:val="Style_2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tents 4"/>
    <w:link w:val="Style_47_ch"/>
    <w:rPr>
      <w:rFonts w:ascii="XO Thames" w:hAnsi="XO Thames"/>
      <w:sz w:val="28"/>
    </w:rPr>
  </w:style>
  <w:style w:styleId="Style_47_ch" w:type="character">
    <w:name w:val="Contents 4"/>
    <w:link w:val="Style_47"/>
    <w:rPr>
      <w:rFonts w:ascii="XO Thames" w:hAnsi="XO Thames"/>
      <w:sz w:val="28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Body Text Indent 31"/>
    <w:basedOn w:val="Style_2"/>
    <w:link w:val="Style_49_ch"/>
    <w:pPr>
      <w:spacing w:after="120" w:before="0"/>
      <w:ind w:firstLine="0" w:left="283"/>
    </w:pPr>
    <w:rPr>
      <w:sz w:val="16"/>
    </w:rPr>
  </w:style>
  <w:style w:styleId="Style_49_ch" w:type="character">
    <w:name w:val="Body Text Indent 31"/>
    <w:basedOn w:val="Style_2_ch"/>
    <w:link w:val="Style_49"/>
    <w:rPr>
      <w:sz w:val="16"/>
    </w:rPr>
  </w:style>
  <w:style w:styleId="Style_50" w:type="paragraph">
    <w:name w:val="toc 5"/>
    <w:next w:val="Style_2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Internet link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1_ch" w:type="character">
    <w:name w:val="Internet link"/>
    <w:link w:val="Style_51"/>
    <w:rPr>
      <w:rFonts w:ascii="Times New Roman" w:hAnsi="Times New Roman"/>
      <w:color w:val="0000FF"/>
      <w:spacing w:val="0"/>
      <w:sz w:val="20"/>
      <w:u w:val="single"/>
    </w:rPr>
  </w:style>
  <w:style w:styleId="Style_52" w:type="paragraph">
    <w:name w:val="Footnote1"/>
    <w:link w:val="Style_5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Footnote1"/>
    <w:link w:val="Style_52"/>
    <w:rPr>
      <w:rFonts w:ascii="XO Thames" w:hAnsi="XO Thames"/>
      <w:color w:val="000000"/>
      <w:spacing w:val="0"/>
      <w:sz w:val="22"/>
    </w:rPr>
  </w:style>
  <w:style w:styleId="Style_53" w:type="paragraph">
    <w:name w:val="Contents 2"/>
    <w:link w:val="Style_53_ch"/>
    <w:rPr>
      <w:rFonts w:ascii="XO Thames" w:hAnsi="XO Thames"/>
      <w:sz w:val="28"/>
    </w:rPr>
  </w:style>
  <w:style w:styleId="Style_53_ch" w:type="character">
    <w:name w:val="Contents 2"/>
    <w:link w:val="Style_53"/>
    <w:rPr>
      <w:rFonts w:ascii="XO Thames" w:hAnsi="XO Thames"/>
      <w:sz w:val="28"/>
    </w:rPr>
  </w:style>
  <w:style w:styleId="Style_54" w:type="paragraph">
    <w:name w:val="Balloon Text1"/>
    <w:basedOn w:val="Style_2"/>
    <w:link w:val="Style_54_ch"/>
    <w:rPr>
      <w:rFonts w:ascii="Tahoma" w:hAnsi="Tahoma"/>
      <w:sz w:val="16"/>
    </w:rPr>
  </w:style>
  <w:style w:styleId="Style_54_ch" w:type="character">
    <w:name w:val="Balloon Text1"/>
    <w:basedOn w:val="Style_2_ch"/>
    <w:link w:val="Style_54"/>
    <w:rPr>
      <w:rFonts w:ascii="Tahoma" w:hAnsi="Tahoma"/>
      <w:sz w:val="16"/>
    </w:rPr>
  </w:style>
  <w:style w:styleId="Style_55" w:type="paragraph">
    <w:name w:val="Subtitle"/>
    <w:next w:val="Style_2"/>
    <w:link w:val="Style_5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Heading 51"/>
    <w:link w:val="Style_56_ch"/>
    <w:rPr>
      <w:rFonts w:ascii="XO Thames" w:hAnsi="XO Thames"/>
      <w:b w:val="1"/>
      <w:sz w:val="22"/>
    </w:rPr>
  </w:style>
  <w:style w:styleId="Style_56_ch" w:type="character">
    <w:name w:val="Heading 51"/>
    <w:link w:val="Style_56"/>
    <w:rPr>
      <w:rFonts w:ascii="XO Thames" w:hAnsi="XO Thames"/>
      <w:b w:val="1"/>
      <w:sz w:val="22"/>
    </w:rPr>
  </w:style>
  <w:style w:styleId="Style_57" w:type="paragraph">
    <w:name w:val="Title"/>
    <w:basedOn w:val="Style_2"/>
    <w:link w:val="Style_57_ch"/>
    <w:uiPriority w:val="10"/>
    <w:qFormat/>
    <w:pPr>
      <w:ind/>
      <w:jc w:val="center"/>
    </w:pPr>
    <w:rPr>
      <w:sz w:val="28"/>
    </w:rPr>
  </w:style>
  <w:style w:styleId="Style_57_ch" w:type="character">
    <w:name w:val="Title"/>
    <w:basedOn w:val="Style_2_ch"/>
    <w:link w:val="Style_57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Указатель"/>
    <w:basedOn w:val="Style_2"/>
    <w:link w:val="Style_59_ch"/>
  </w:style>
  <w:style w:styleId="Style_59_ch" w:type="character">
    <w:name w:val="Указатель"/>
    <w:basedOn w:val="Style_2_ch"/>
    <w:link w:val="Style_59"/>
  </w:style>
  <w:style w:styleId="Style_60" w:type="paragraph">
    <w:name w:val="heading 2"/>
    <w:next w:val="Style_2"/>
    <w:link w:val="Style_6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Title1"/>
    <w:link w:val="Style_61_ch"/>
    <w:rPr>
      <w:sz w:val="28"/>
    </w:rPr>
  </w:style>
  <w:style w:styleId="Style_61_ch" w:type="character">
    <w:name w:val="Title1"/>
    <w:link w:val="Style_61"/>
    <w:rPr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2025-06-27T05:59:43Z</dcterms:modified>
</cp:coreProperties>
</file>